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left"/>
      </w:pPr>
      <w:r>
        <w:rPr>
          <w:rFonts w:ascii="Aptos Display" w:hAnsi="Aptos Display"/>
          <w:b/>
          <w:color w:val="0B5D66"/>
          <w:sz w:val="54"/>
        </w:rPr>
        <w:t>Lesson 14: Demonstration and Evaluation</w:t>
      </w:r>
    </w:p>
    <w:p>
      <w:pPr>
        <w:spacing w:after="280"/>
      </w:pPr>
      <w:r>
        <w:rPr>
          <w:rFonts w:ascii="Aptos Display" w:hAnsi="Aptos Display"/>
          <w:b w:val="0"/>
          <w:color w:val="18323A"/>
          <w:sz w:val="28"/>
        </w:rPr>
        <w:t>Final test record, evidence, and reflection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08"/>
      </w:tblGrid>
      <w:tr>
        <w:tc>
          <w:tcPr>
            <w:tcW w:type="dxa" w:w="10036"/>
            <w:shd w:fill="0B5D66"/>
            <w:tcMar>
              <w:top w:w="35" w:type="dxa"/>
              <w:start w:w="0" w:type="dxa"/>
              <w:bottom w:w="35" w:type="dxa"/>
              <w:end w:w="0" w:type="dxa"/>
            </w:tcMar>
          </w:tcPr>
          <w:p>
            <w:r>
              <w:t xml:space="preserve"> </w:t>
            </w:r>
          </w:p>
        </w:tc>
      </w:tr>
    </w:tbl>
    <w:p/>
    <w:p>
      <w:pPr>
        <w:spacing w:after="40"/>
      </w:pPr>
      <w:r>
        <w:rPr>
          <w:rFonts w:ascii="Aptos" w:hAnsi="Aptos"/>
          <w:color w:val="4A5560"/>
          <w:sz w:val="21"/>
        </w:rPr>
        <w:t>Grade 9 MYP Design | From USB to Field System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CCD4D8"/>
          <w:left w:val="single" w:sz="4" w:space="0" w:color="CCD4D8"/>
          <w:bottom w:val="single" w:sz="4" w:space="0" w:color="CCD4D8"/>
          <w:right w:val="single" w:sz="4" w:space="0" w:color="CCD4D8"/>
          <w:insideH w:val="single" w:sz="4" w:space="0" w:color="CCD4D8"/>
          <w:insideV w:val="single" w:sz="4" w:space="0" w:color="CCD4D8"/>
        </w:tblBorders>
      </w:tblPr>
      <w:tblGrid>
        <w:gridCol w:w="3345"/>
        <w:gridCol w:w="3345"/>
        <w:gridCol w:w="3345"/>
      </w:tblGrid>
      <w:tr>
        <w:tc>
          <w:tcPr>
            <w:tcW w:type="dxa" w:w="419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Name: __________________</w:t>
            </w:r>
          </w:p>
        </w:tc>
        <w:tc>
          <w:tcPr>
            <w:tcW w:type="dxa" w:w="2835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Class / team: __________________</w:t>
            </w:r>
          </w:p>
        </w:tc>
        <w:tc>
          <w:tcPr>
            <w:tcW w:type="dxa" w:w="2551"/>
            <w:tcMar>
              <w:top w:w="70" w:type="dxa"/>
              <w:start w:w="90" w:type="dxa"/>
              <w:bottom w:w="70" w:type="dxa"/>
              <w:end w:w="90" w:type="dxa"/>
            </w:tcMar>
            <w:shd w:fill="F2F4F5"/>
          </w:tcPr>
          <w:p>
            <w:r>
              <w:rPr>
                <w:rFonts w:ascii="Aptos" w:hAnsi="Aptos"/>
                <w:b/>
                <w:color w:val="18323A"/>
                <w:sz w:val="18"/>
              </w:rPr>
              <w:t>Date: __________________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  <w:tblBorders>
          <w:top w:val="single" w:sz="0" w:space="0" w:color="DDEFF1"/>
          <w:left w:val="single" w:sz="0" w:space="0" w:color="DDEFF1"/>
          <w:bottom w:val="single" w:sz="0" w:space="0" w:color="DDEFF1"/>
          <w:right w:val="single" w:sz="0" w:space="0" w:color="DDEFF1"/>
          <w:insideH w:val="single" w:sz="0" w:space="0" w:color="DDEFF1"/>
          <w:insideV w:val="single" w:sz="0" w:space="0" w:color="DDEFF1"/>
        </w:tblBorders>
      </w:tblPr>
      <w:tblGrid>
        <w:gridCol w:w="10036"/>
      </w:tblGrid>
      <w:tr>
        <w:tc>
          <w:tcPr>
            <w:tcW w:type="dxa" w:w="10036"/>
            <w:shd w:fill="DDEFF1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40"/>
            </w:pPr>
            <w:r>
              <w:rPr>
                <w:rFonts w:ascii="Aptos Display" w:hAnsi="Aptos Display"/>
                <w:b/>
                <w:color w:val="0B5D66"/>
                <w:sz w:val="20"/>
              </w:rPr>
              <w:t>Today’s goals</w:t>
            </w:r>
          </w:p>
          <w:p/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Demonstrate the system safely.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Judge each criterion using evidence.</w:t>
            </w:r>
          </w:p>
          <w:p>
            <w:pPr>
              <w:spacing w:after="20"/>
            </w:pPr>
            <w:r>
              <w:rPr>
                <w:rFonts w:ascii="Aptos" w:hAnsi="Aptos"/>
                <w:sz w:val="19"/>
              </w:rPr>
              <w:t>• Propose technically justified improvements.</w:t>
            </w:r>
          </w:p>
        </w:tc>
      </w:tr>
    </w:tbl>
    <w:p>
      <w:pPr>
        <w:spacing w:after="0"/>
      </w:pPr>
    </w:p>
    <w:p>
      <w:pPr>
        <w:pStyle w:val="Heading1"/>
      </w:pPr>
      <w:r>
        <w:t>Key vocabulary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2835"/>
        <w:gridCol w:w="6917"/>
      </w:tblGrid>
      <w:tr>
        <w:trPr>
          <w:tblHeader w:val="true"/>
        </w:trPr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Term</w:t>
            </w:r>
          </w:p>
        </w:tc>
        <w:tc>
          <w:tcPr>
            <w:tcW w:type="dxa" w:w="5018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Working definition</w:t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criterion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evidence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judgement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fault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limitation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enhancement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  <w:tr>
        <w:tc>
          <w:tcPr>
            <w:tcW w:type="dxa" w:w="283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/>
                <w:sz w:val="18"/>
              </w:rPr>
              <w:t>evaluation</w:t>
            </w:r>
          </w:p>
        </w:tc>
        <w:tc>
          <w:tcPr>
            <w:tcW w:type="dxa" w:w="691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1. Pre-demonstration checklist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Wiring has passed final inspection.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Buck output has been measured.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Turbidity divider point is below 3.3V.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Code is saved and compiles.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CSV header and rows are correct.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Water sample and wet zone are ready.</w:t>
      </w:r>
    </w:p>
    <w:p>
      <w:pPr>
        <w:spacing w:after="40"/>
        <w:ind w:left="113"/>
      </w:pPr>
      <w:r>
        <w:rPr>
          <w:rFonts w:ascii="Aptos" w:hAnsi="Aptos"/>
          <w:sz w:val="19"/>
        </w:rPr>
        <w:t>☐  One team member can explain every major component.</w:t>
      </w:r>
    </w:p>
    <w:p>
      <w:pPr>
        <w:pStyle w:val="Heading1"/>
      </w:pPr>
      <w:r>
        <w:t>2. Demonstration script</w:t>
      </w:r>
    </w:p>
    <w:p>
      <w:pPr>
        <w:pStyle w:val="ListNumber"/>
        <w:spacing w:after="40"/>
      </w:pPr>
      <w:r>
        <w:rPr>
          <w:rFonts w:ascii="Aptos" w:hAnsi="Aptos"/>
        </w:rPr>
        <w:t>Show the protected power path and identify the fuse.</w:t>
      </w:r>
    </w:p>
    <w:p>
      <w:pPr>
        <w:pStyle w:val="ListNumber"/>
        <w:spacing w:after="40"/>
      </w:pPr>
      <w:r>
        <w:rPr>
          <w:rFonts w:ascii="Aptos" w:hAnsi="Aptos"/>
        </w:rPr>
        <w:t>Show the buck-converter measurement.</w:t>
      </w:r>
    </w:p>
    <w:p>
      <w:pPr>
        <w:pStyle w:val="ListNumber"/>
        <w:spacing w:after="40"/>
      </w:pPr>
      <w:r>
        <w:rPr>
          <w:rFonts w:ascii="Aptos" w:hAnsi="Aptos"/>
        </w:rPr>
        <w:t>Power the system and open Serial Monitor.</w:t>
      </w:r>
    </w:p>
    <w:p>
      <w:pPr>
        <w:pStyle w:val="ListNumber"/>
        <w:spacing w:after="40"/>
      </w:pPr>
      <w:r>
        <w:rPr>
          <w:rFonts w:ascii="Aptos" w:hAnsi="Aptos"/>
        </w:rPr>
        <w:t>Explain GPIO4 temperature, GPIO1 conductivity, and GPIO2 turbidity.</w:t>
      </w:r>
    </w:p>
    <w:p>
      <w:pPr>
        <w:pStyle w:val="ListNumber"/>
        <w:spacing w:after="40"/>
      </w:pPr>
      <w:r>
        <w:rPr>
          <w:rFonts w:ascii="Aptos" w:hAnsi="Aptos"/>
        </w:rPr>
        <w:t>Demonstrate a sensor response to a controlled sample change.</w:t>
      </w:r>
    </w:p>
    <w:p>
      <w:pPr>
        <w:pStyle w:val="ListNumber"/>
        <w:spacing w:after="40"/>
      </w:pPr>
      <w:r>
        <w:rPr>
          <w:rFonts w:ascii="Aptos" w:hAnsi="Aptos"/>
        </w:rPr>
        <w:t>Capture CSV and open it in a spreadsheet.</w:t>
      </w:r>
    </w:p>
    <w:p>
      <w:pPr>
        <w:pStyle w:val="ListNumber"/>
        <w:spacing w:after="40"/>
      </w:pPr>
      <w:r>
        <w:rPr>
          <w:rFonts w:ascii="Aptos" w:hAnsi="Aptos"/>
        </w:rPr>
        <w:t>State which readings are calibrated, estimated, or relative.</w:t>
      </w:r>
    </w:p>
    <w:p>
      <w:pPr>
        <w:pStyle w:val="Heading1"/>
      </w:pPr>
      <w:r>
        <w:t>3. Criterion-based evaluation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3231"/>
        <w:gridCol w:w="2948"/>
        <w:gridCol w:w="1757"/>
        <w:gridCol w:w="1814"/>
      </w:tblGrid>
      <w:tr>
        <w:trPr>
          <w:tblHeader w:val="true"/>
        </w:trPr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Success criterion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Evidence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Met / partly / not met</w:t>
            </w:r>
          </w:p>
        </w:tc>
        <w:tc>
          <w:tcPr>
            <w:tcW w:type="dxa" w:w="2509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Improvement</w:t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Operates from external 12V power system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Fuse is correctly placed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Buck output is 4.9–5.1V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No raw 12V reaches ESP32/sensors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Temperature responds plausibly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EC responds to ion concentration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Turbidity responds to suspended material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GPIO2 remains below 3.3V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CSV rows occur at correct interval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Wiring has insulation and strain relief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  <w:tr>
        <w:tc>
          <w:tcPr>
            <w:tcW w:type="dxa" w:w="3231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  <w:t>Runs for at least ten minutes without reset</w:t>
            </w:r>
          </w:p>
        </w:tc>
        <w:tc>
          <w:tcPr>
            <w:tcW w:type="dxa" w:w="294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757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  <w:tc>
          <w:tcPr>
            <w:tcW w:type="dxa" w:w="1814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5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4. Fault, limitation, or enhancement?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C4CA"/>
          <w:left w:val="single" w:sz="4" w:space="0" w:color="B7C4CA"/>
          <w:bottom w:val="single" w:sz="4" w:space="0" w:color="B7C4CA"/>
          <w:right w:val="single" w:sz="4" w:space="0" w:color="B7C4CA"/>
          <w:insideH w:val="single" w:sz="4" w:space="0" w:color="B7C4CA"/>
          <w:insideV w:val="single" w:sz="4" w:space="0" w:color="B7C4CA"/>
        </w:tblBorders>
      </w:tblPr>
      <w:tblGrid>
        <w:gridCol w:w="3969"/>
        <w:gridCol w:w="2268"/>
        <w:gridCol w:w="3515"/>
      </w:tblGrid>
      <w:tr>
        <w:trPr>
          <w:tblHeader w:val="true"/>
        </w:trPr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Observation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Category</w:t>
            </w:r>
          </w:p>
        </w:tc>
        <w:tc>
          <w:tcPr>
            <w:tcW w:type="dxa" w:w="3345"/>
            <w:shd w:fill="0B5D66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ptos" w:hAnsi="Aptos"/>
                <w:b/>
                <w:color w:val="FFFFFF"/>
                <w:sz w:val="17"/>
              </w:rPr>
              <w:t>Why</w:t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  <w:tr>
        <w:tc>
          <w:tcPr>
            <w:tcW w:type="dxa" w:w="3969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2268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  <w:tc>
          <w:tcPr>
            <w:tcW w:type="dxa" w:w="3515"/>
            <w:tcMar>
              <w:top w:w="80" w:type="dxa"/>
              <w:start w:w="100" w:type="dxa"/>
              <w:bottom w:w="80" w:type="dxa"/>
              <w:end w:w="100" w:type="dxa"/>
            </w:tcMar>
            <w:vAlign w:val="top"/>
          </w:tcPr>
          <w:p>
            <w:r>
              <w:rPr>
                <w:rFonts w:ascii="Aptos" w:hAnsi="Aptos"/>
                <w:b w:val="0"/>
                <w:sz w:val="17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5. Final evaluation</w:t>
      </w:r>
    </w:p>
    <w:p>
      <w:pPr>
        <w:spacing w:after="40"/>
      </w:pPr>
      <w:r>
        <w:rPr>
          <w:rFonts w:ascii="Aptos" w:hAnsi="Aptos"/>
          <w:b/>
        </w:rPr>
        <w:t>Most successful feature and evidence: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Most important limitation and evidence: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Highest-priority improvement, how it would work, and why it matters: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b/>
        </w:rPr>
        <w:t>What did this unit teach you that a USB LED exercise did not?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p>
      <w:pPr>
        <w:spacing w:after="40"/>
      </w:pPr>
      <w:r>
        <w:rPr>
          <w:rFonts w:ascii="Aptos" w:hAnsi="Aptos"/>
          <w:color w:val="8C969C"/>
          <w:sz w:val="17"/>
        </w:rPr>
        <w:t>________________________________________________________________________________________________________________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35" w:bottom="765" w:left="935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Layout w:type="fixed"/>
      <w:tblLook w:firstColumn="1" w:firstRow="1" w:lastColumn="0" w:lastRow="0" w:noHBand="0" w:noVBand="1" w:val="04A0"/>
    </w:tblPr>
    <w:tblGrid>
      <w:gridCol w:w="7824"/>
      <w:gridCol w:w="2211"/>
    </w:tblGrid>
    <w:tr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r>
            <w:rPr>
              <w:rFonts w:ascii="Aptos" w:hAnsi="Aptos"/>
              <w:color w:val="4A5560"/>
              <w:sz w:val="16"/>
            </w:rPr>
            <w:t>Lesson 14 student handout | Final evaluation</w:t>
          </w:r>
        </w:p>
      </w:tc>
      <w:tc>
        <w:tcPr>
          <w:tcW w:type="dxa" w:w="5017"/>
          <w:tcMar>
            <w:top w:w="0" w:type="dxa"/>
            <w:start w:w="0" w:type="dxa"/>
            <w:bottom w:w="0" w:type="dxa"/>
            <w:end w:w="0" w:type="dxa"/>
          </w:tcMar>
          <w:vAlign w:val="center"/>
        </w:tcPr>
        <w:p>
          <w:pPr>
            <w:jc w:val="right"/>
          </w:pPr>
          <w:r>
            <w:rPr>
              <w:rFonts w:ascii="Aptos" w:hAnsi="Aptos"/>
              <w:color w:val="4A5560"/>
              <w:sz w:val="17"/>
            </w:rPr>
            <w:t xml:space="preserve">Page </w:t>
            <w:fldChar w:fldCharType="begin"/>
            <w:instrText xml:space="preserve">PAGE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8" w:space="3" w:color="0B5D66"/>
      </w:pBdr>
    </w:pPr>
    <w:r>
      <w:rPr>
        <w:rFonts w:ascii="Aptos Display" w:hAnsi="Aptos Display"/>
        <w:b/>
        <w:color w:val="0B5D66"/>
        <w:sz w:val="17"/>
      </w:rPr>
      <w:t>NANYAO  |  GRADE 9 MYP DESIGN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5D66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2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5D66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spacing w:before="60" w:after="100" w:line="240" w:lineRule="auto"/>
      <w:ind w:left="198" w:right="142"/>
    </w:pPr>
    <w:rPr>
      <w:rFonts w:ascii="Courier New" w:hAnsi="Courier New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14 Student Handout</dc:title>
  <dc:subject>Grade 9 MYP Design ESP32 water-quality monitoring unit</dc:subject>
  <dc:creator>Mr. A</dc:creator>
  <cp:keywords>ESP32, MYP Design, electronics, Arduino, water quality, Grade 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